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bidiVisual/>
        <w:tblW w:w="0" w:type="auto"/>
        <w:tblInd w:w="-794" w:type="dxa"/>
        <w:tblLook w:val="04A0" w:firstRow="1" w:lastRow="0" w:firstColumn="1" w:lastColumn="0" w:noHBand="0" w:noVBand="1"/>
      </w:tblPr>
      <w:tblGrid>
        <w:gridCol w:w="944"/>
        <w:gridCol w:w="1150"/>
        <w:gridCol w:w="1184"/>
        <w:gridCol w:w="1387"/>
        <w:gridCol w:w="776"/>
        <w:gridCol w:w="702"/>
        <w:gridCol w:w="776"/>
        <w:gridCol w:w="776"/>
        <w:gridCol w:w="776"/>
        <w:gridCol w:w="702"/>
        <w:gridCol w:w="776"/>
        <w:gridCol w:w="702"/>
        <w:gridCol w:w="702"/>
        <w:gridCol w:w="837"/>
        <w:gridCol w:w="837"/>
        <w:gridCol w:w="837"/>
        <w:gridCol w:w="861"/>
      </w:tblGrid>
      <w:tr w:rsidR="001670E6" w:rsidTr="008A53E7">
        <w:tc>
          <w:tcPr>
            <w:tcW w:w="944" w:type="dxa"/>
            <w:vMerge w:val="restart"/>
          </w:tcPr>
          <w:p w:rsidR="001670E6" w:rsidRPr="00AE45E1" w:rsidRDefault="001670E6" w:rsidP="002E629E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 xml:space="preserve">المنطقة </w:t>
            </w:r>
          </w:p>
        </w:tc>
        <w:tc>
          <w:tcPr>
            <w:tcW w:w="1150" w:type="dxa"/>
            <w:vMerge w:val="restart"/>
          </w:tcPr>
          <w:p w:rsidR="001670E6" w:rsidRPr="00AE45E1" w:rsidRDefault="001670E6" w:rsidP="002E629E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 xml:space="preserve">القسم </w:t>
            </w:r>
          </w:p>
        </w:tc>
        <w:tc>
          <w:tcPr>
            <w:tcW w:w="1184" w:type="dxa"/>
            <w:vMerge w:val="restart"/>
          </w:tcPr>
          <w:p w:rsidR="001670E6" w:rsidRPr="00AE45E1" w:rsidRDefault="001670E6" w:rsidP="002E629E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الايراد الشهري</w:t>
            </w:r>
          </w:p>
        </w:tc>
        <w:tc>
          <w:tcPr>
            <w:tcW w:w="1387" w:type="dxa"/>
            <w:vMerge w:val="restart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الحافز 10% من الايراد</w:t>
            </w:r>
          </w:p>
        </w:tc>
        <w:tc>
          <w:tcPr>
            <w:tcW w:w="8398" w:type="dxa"/>
            <w:gridSpan w:val="12"/>
            <w:shd w:val="clear" w:color="auto" w:fill="0D0D0D" w:themeFill="text1" w:themeFillTint="F2"/>
          </w:tcPr>
          <w:p w:rsidR="001670E6" w:rsidRPr="00AE45E1" w:rsidRDefault="001670E6" w:rsidP="00AE45E1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 xml:space="preserve">توزيع الحافز بالنسب المحدد لكل فئة </w:t>
            </w:r>
            <w:r w:rsidR="00036615" w:rsidRPr="00AE45E1">
              <w:rPr>
                <w:rFonts w:hint="cs"/>
                <w:b/>
                <w:bCs/>
                <w:sz w:val="24"/>
                <w:szCs w:val="24"/>
                <w:rtl/>
              </w:rPr>
              <w:t xml:space="preserve"> من حصة الحافز 10% قرين كل قسم</w:t>
            </w:r>
          </w:p>
        </w:tc>
        <w:tc>
          <w:tcPr>
            <w:tcW w:w="810" w:type="dxa"/>
            <w:vMerge w:val="restart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الاجمالي</w:t>
            </w:r>
          </w:p>
        </w:tc>
      </w:tr>
      <w:tr w:rsidR="001670E6" w:rsidTr="008A53E7">
        <w:trPr>
          <w:trHeight w:val="409"/>
        </w:trPr>
        <w:tc>
          <w:tcPr>
            <w:tcW w:w="944" w:type="dxa"/>
            <w:vMerge/>
          </w:tcPr>
          <w:p w:rsidR="001670E6" w:rsidRPr="00AE45E1" w:rsidRDefault="001670E6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vMerge/>
          </w:tcPr>
          <w:p w:rsidR="001670E6" w:rsidRPr="00AE45E1" w:rsidRDefault="001670E6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84" w:type="dxa"/>
            <w:vMerge/>
          </w:tcPr>
          <w:p w:rsidR="001670E6" w:rsidRPr="00AE45E1" w:rsidRDefault="001670E6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87" w:type="dxa"/>
            <w:vMerge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الفئة1</w:t>
            </w:r>
          </w:p>
        </w:tc>
        <w:tc>
          <w:tcPr>
            <w:tcW w:w="660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الفئة2</w:t>
            </w:r>
          </w:p>
        </w:tc>
        <w:tc>
          <w:tcPr>
            <w:tcW w:w="714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الفئة3</w:t>
            </w:r>
          </w:p>
        </w:tc>
        <w:tc>
          <w:tcPr>
            <w:tcW w:w="729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الفئة4</w:t>
            </w:r>
          </w:p>
        </w:tc>
        <w:tc>
          <w:tcPr>
            <w:tcW w:w="714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الفئة5</w:t>
            </w:r>
          </w:p>
        </w:tc>
        <w:tc>
          <w:tcPr>
            <w:tcW w:w="690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الفئة6</w:t>
            </w:r>
          </w:p>
        </w:tc>
        <w:tc>
          <w:tcPr>
            <w:tcW w:w="729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الفئة7</w:t>
            </w:r>
          </w:p>
        </w:tc>
        <w:tc>
          <w:tcPr>
            <w:tcW w:w="617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الفئة8</w:t>
            </w:r>
          </w:p>
        </w:tc>
        <w:tc>
          <w:tcPr>
            <w:tcW w:w="617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الفئة9</w:t>
            </w:r>
          </w:p>
        </w:tc>
        <w:tc>
          <w:tcPr>
            <w:tcW w:w="733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الفئة10</w:t>
            </w:r>
          </w:p>
        </w:tc>
        <w:tc>
          <w:tcPr>
            <w:tcW w:w="733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الفئة11</w:t>
            </w:r>
          </w:p>
        </w:tc>
        <w:tc>
          <w:tcPr>
            <w:tcW w:w="733" w:type="dxa"/>
          </w:tcPr>
          <w:p w:rsidR="001670E6" w:rsidRPr="00AE45E1" w:rsidRDefault="001670E6" w:rsidP="008A53E7">
            <w:pPr>
              <w:jc w:val="center"/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الفئة12</w:t>
            </w:r>
          </w:p>
        </w:tc>
        <w:tc>
          <w:tcPr>
            <w:tcW w:w="810" w:type="dxa"/>
            <w:vMerge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  <w:tr w:rsidR="001670E6" w:rsidTr="00036615">
        <w:tc>
          <w:tcPr>
            <w:tcW w:w="944" w:type="dxa"/>
            <w:vMerge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vAlign w:val="bottom"/>
          </w:tcPr>
          <w:p w:rsidR="001670E6" w:rsidRPr="00AE45E1" w:rsidRDefault="001670E6" w:rsidP="006B0EA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  <w:t>الملابس</w:t>
            </w:r>
          </w:p>
        </w:tc>
        <w:tc>
          <w:tcPr>
            <w:tcW w:w="1184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500000</w:t>
            </w:r>
          </w:p>
        </w:tc>
        <w:tc>
          <w:tcPr>
            <w:tcW w:w="1387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FF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FF0000"/>
                <w:sz w:val="24"/>
                <w:szCs w:val="24"/>
              </w:rPr>
              <w:t>50000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  <w:t>2</w:t>
            </w:r>
            <w:bookmarkStart w:id="0" w:name="_GoBack"/>
            <w:bookmarkEnd w:id="0"/>
            <w:r w:rsidRPr="00AE45E1"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  <w:t>.5%</w:t>
            </w:r>
          </w:p>
        </w:tc>
        <w:tc>
          <w:tcPr>
            <w:tcW w:w="66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  <w:t>1%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  <w:t>1%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  <w:t>1%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  <w:t>1%</w:t>
            </w:r>
          </w:p>
        </w:tc>
        <w:tc>
          <w:tcPr>
            <w:tcW w:w="69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  <w:t>2.5%</w:t>
            </w: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FF0000"/>
                <w:sz w:val="24"/>
                <w:szCs w:val="24"/>
                <w:rtl/>
              </w:rPr>
              <w:t>1</w:t>
            </w: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1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  <w:tr w:rsidR="001670E6" w:rsidTr="00036615">
        <w:tc>
          <w:tcPr>
            <w:tcW w:w="944" w:type="dxa"/>
            <w:vMerge w:val="restart"/>
          </w:tcPr>
          <w:p w:rsidR="001670E6" w:rsidRPr="00AE45E1" w:rsidRDefault="001670E6" w:rsidP="006B0EAD">
            <w:pPr>
              <w:rPr>
                <w:b/>
                <w:bCs/>
                <w:sz w:val="24"/>
                <w:szCs w:val="24"/>
                <w:rtl/>
              </w:rPr>
            </w:pPr>
          </w:p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الأولى</w:t>
            </w:r>
          </w:p>
        </w:tc>
        <w:tc>
          <w:tcPr>
            <w:tcW w:w="1150" w:type="dxa"/>
            <w:vAlign w:val="bottom"/>
          </w:tcPr>
          <w:p w:rsidR="001670E6" w:rsidRPr="00AE45E1" w:rsidRDefault="001670E6" w:rsidP="006B0EA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  <w:t>الخضار</w:t>
            </w:r>
          </w:p>
        </w:tc>
        <w:tc>
          <w:tcPr>
            <w:tcW w:w="1184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600000</w:t>
            </w:r>
          </w:p>
        </w:tc>
        <w:tc>
          <w:tcPr>
            <w:tcW w:w="1387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70C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70C0"/>
                <w:sz w:val="24"/>
                <w:szCs w:val="24"/>
              </w:rPr>
              <w:t>60000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  <w:t>5.5%</w:t>
            </w:r>
          </w:p>
        </w:tc>
        <w:tc>
          <w:tcPr>
            <w:tcW w:w="66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  <w:t>1%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  <w:t>2%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  <w:t>0.5%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  <w:t>1%</w:t>
            </w:r>
          </w:p>
        </w:tc>
        <w:tc>
          <w:tcPr>
            <w:tcW w:w="69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0070C0"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1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  <w:tr w:rsidR="001670E6" w:rsidTr="00036615">
        <w:tc>
          <w:tcPr>
            <w:tcW w:w="944" w:type="dxa"/>
            <w:vMerge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vAlign w:val="bottom"/>
          </w:tcPr>
          <w:p w:rsidR="001670E6" w:rsidRPr="00AE45E1" w:rsidRDefault="001670E6" w:rsidP="006B0EA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  <w:t>العطور</w:t>
            </w:r>
          </w:p>
        </w:tc>
        <w:tc>
          <w:tcPr>
            <w:tcW w:w="1184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700000</w:t>
            </w:r>
          </w:p>
        </w:tc>
        <w:tc>
          <w:tcPr>
            <w:tcW w:w="1387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806000" w:themeColor="accent4" w:themeShade="8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806000" w:themeColor="accent4" w:themeShade="80"/>
                <w:sz w:val="24"/>
                <w:szCs w:val="24"/>
              </w:rPr>
              <w:t>70000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806000" w:themeColor="accent4" w:themeShade="8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806000" w:themeColor="accent4" w:themeShade="80"/>
                <w:sz w:val="24"/>
                <w:szCs w:val="24"/>
                <w:rtl/>
              </w:rPr>
              <w:t>5%</w:t>
            </w:r>
          </w:p>
        </w:tc>
        <w:tc>
          <w:tcPr>
            <w:tcW w:w="66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806000" w:themeColor="accent4" w:themeShade="8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806000" w:themeColor="accent4" w:themeShade="80"/>
                <w:sz w:val="24"/>
                <w:szCs w:val="24"/>
                <w:rtl/>
              </w:rPr>
              <w:t>2%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806000" w:themeColor="accent4" w:themeShade="80"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806000" w:themeColor="accent4" w:themeShade="80"/>
                <w:sz w:val="24"/>
                <w:szCs w:val="24"/>
                <w:rtl/>
              </w:rPr>
            </w:pP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806000" w:themeColor="accent4" w:themeShade="8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806000" w:themeColor="accent4" w:themeShade="80"/>
                <w:sz w:val="24"/>
                <w:szCs w:val="24"/>
                <w:rtl/>
              </w:rPr>
              <w:t>2%</w:t>
            </w:r>
          </w:p>
        </w:tc>
        <w:tc>
          <w:tcPr>
            <w:tcW w:w="69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1%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1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  <w:tr w:rsidR="001670E6" w:rsidTr="00036615">
        <w:tc>
          <w:tcPr>
            <w:tcW w:w="944" w:type="dxa"/>
            <w:vMerge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vAlign w:val="bottom"/>
          </w:tcPr>
          <w:p w:rsidR="001670E6" w:rsidRPr="00AE45E1" w:rsidRDefault="001670E6" w:rsidP="006B0EA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  <w:t>أدوات تجميل</w:t>
            </w:r>
          </w:p>
        </w:tc>
        <w:tc>
          <w:tcPr>
            <w:tcW w:w="1184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800000</w:t>
            </w:r>
          </w:p>
        </w:tc>
        <w:tc>
          <w:tcPr>
            <w:tcW w:w="1387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385623" w:themeColor="accent6" w:themeShade="8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385623" w:themeColor="accent6" w:themeShade="80"/>
                <w:sz w:val="24"/>
                <w:szCs w:val="24"/>
              </w:rPr>
              <w:t>80000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  <w:t>1.5%</w:t>
            </w:r>
          </w:p>
        </w:tc>
        <w:tc>
          <w:tcPr>
            <w:tcW w:w="66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  <w:t>0.5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</w:pP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</w:pPr>
          </w:p>
        </w:tc>
        <w:tc>
          <w:tcPr>
            <w:tcW w:w="69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  <w:t>3%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385623" w:themeColor="accent6" w:themeShade="80"/>
                <w:sz w:val="24"/>
                <w:szCs w:val="24"/>
                <w:rtl/>
              </w:rPr>
              <w:t>5%</w:t>
            </w: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1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  <w:tr w:rsidR="001670E6" w:rsidTr="00036615">
        <w:tc>
          <w:tcPr>
            <w:tcW w:w="944" w:type="dxa"/>
            <w:vMerge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vAlign w:val="bottom"/>
          </w:tcPr>
          <w:p w:rsidR="001670E6" w:rsidRPr="00AE45E1" w:rsidRDefault="001670E6" w:rsidP="006B0EA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  <w:t>الأدوات المنزلية</w:t>
            </w:r>
          </w:p>
        </w:tc>
        <w:tc>
          <w:tcPr>
            <w:tcW w:w="1184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900000</w:t>
            </w:r>
          </w:p>
        </w:tc>
        <w:tc>
          <w:tcPr>
            <w:tcW w:w="1387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C45911" w:themeColor="accent2" w:themeShade="BF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C45911" w:themeColor="accent2" w:themeShade="BF"/>
                <w:sz w:val="24"/>
                <w:szCs w:val="24"/>
              </w:rPr>
              <w:t>90000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  <w:t>2%</w:t>
            </w:r>
          </w:p>
        </w:tc>
        <w:tc>
          <w:tcPr>
            <w:tcW w:w="66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  <w:t>1%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  <w:t>2%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  <w:t>1%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  <w:t>1%</w:t>
            </w:r>
          </w:p>
        </w:tc>
        <w:tc>
          <w:tcPr>
            <w:tcW w:w="69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color w:val="C45911" w:themeColor="accent2" w:themeShade="BF"/>
                <w:sz w:val="24"/>
                <w:szCs w:val="24"/>
                <w:rtl/>
              </w:rPr>
              <w:t>3%</w:t>
            </w: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1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  <w:tr w:rsidR="001670E6" w:rsidTr="00036615">
        <w:tc>
          <w:tcPr>
            <w:tcW w:w="944" w:type="dxa"/>
            <w:vMerge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vAlign w:val="bottom"/>
          </w:tcPr>
          <w:p w:rsidR="001670E6" w:rsidRPr="00AE45E1" w:rsidRDefault="001670E6" w:rsidP="006B0EA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  <w:t>الأجهزة الإلكترونية</w:t>
            </w:r>
          </w:p>
        </w:tc>
        <w:tc>
          <w:tcPr>
            <w:tcW w:w="1184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1000000</w:t>
            </w:r>
          </w:p>
        </w:tc>
        <w:tc>
          <w:tcPr>
            <w:tcW w:w="1387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100000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3%</w:t>
            </w:r>
          </w:p>
        </w:tc>
        <w:tc>
          <w:tcPr>
            <w:tcW w:w="66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1.5%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1.5%</w:t>
            </w:r>
          </w:p>
        </w:tc>
        <w:tc>
          <w:tcPr>
            <w:tcW w:w="69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1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  <w:tr w:rsidR="001670E6" w:rsidTr="00036615">
        <w:tc>
          <w:tcPr>
            <w:tcW w:w="944" w:type="dxa"/>
            <w:vMerge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vAlign w:val="bottom"/>
          </w:tcPr>
          <w:p w:rsidR="001670E6" w:rsidRPr="00AE45E1" w:rsidRDefault="001670E6" w:rsidP="006B0EA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  <w:t xml:space="preserve"> كمبيوترات</w:t>
            </w:r>
          </w:p>
        </w:tc>
        <w:tc>
          <w:tcPr>
            <w:tcW w:w="1184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1200000</w:t>
            </w:r>
          </w:p>
        </w:tc>
        <w:tc>
          <w:tcPr>
            <w:tcW w:w="1387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120000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66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1%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69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1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  <w:tr w:rsidR="001670E6" w:rsidTr="00036615">
        <w:tc>
          <w:tcPr>
            <w:tcW w:w="944" w:type="dxa"/>
            <w:vMerge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vAlign w:val="bottom"/>
          </w:tcPr>
          <w:p w:rsidR="001670E6" w:rsidRPr="00AE45E1" w:rsidRDefault="001670E6" w:rsidP="006B0EA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  <w:t>جولات</w:t>
            </w:r>
          </w:p>
        </w:tc>
        <w:tc>
          <w:tcPr>
            <w:tcW w:w="1184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1400000</w:t>
            </w:r>
          </w:p>
        </w:tc>
        <w:tc>
          <w:tcPr>
            <w:tcW w:w="1387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140000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66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1%</w:t>
            </w:r>
          </w:p>
        </w:tc>
        <w:tc>
          <w:tcPr>
            <w:tcW w:w="69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1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  <w:tr w:rsidR="001670E6" w:rsidTr="00036615">
        <w:tc>
          <w:tcPr>
            <w:tcW w:w="944" w:type="dxa"/>
            <w:vMerge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vAlign w:val="bottom"/>
          </w:tcPr>
          <w:p w:rsidR="001670E6" w:rsidRPr="00AE45E1" w:rsidRDefault="001670E6" w:rsidP="006B0EA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  <w:t>منظفات</w:t>
            </w:r>
          </w:p>
        </w:tc>
        <w:tc>
          <w:tcPr>
            <w:tcW w:w="1184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1500000</w:t>
            </w:r>
          </w:p>
        </w:tc>
        <w:tc>
          <w:tcPr>
            <w:tcW w:w="1387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150000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66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1.5%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1.5%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69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81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  <w:tr w:rsidR="001670E6" w:rsidTr="00036615">
        <w:tc>
          <w:tcPr>
            <w:tcW w:w="944" w:type="dxa"/>
            <w:vMerge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50" w:type="dxa"/>
            <w:vAlign w:val="bottom"/>
          </w:tcPr>
          <w:p w:rsidR="001670E6" w:rsidRPr="00AE45E1" w:rsidRDefault="001670E6" w:rsidP="006B0EA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  <w:rtl/>
              </w:rPr>
              <w:t>أحذية</w:t>
            </w:r>
          </w:p>
        </w:tc>
        <w:tc>
          <w:tcPr>
            <w:tcW w:w="1184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1600000</w:t>
            </w:r>
          </w:p>
        </w:tc>
        <w:tc>
          <w:tcPr>
            <w:tcW w:w="1387" w:type="dxa"/>
            <w:vAlign w:val="bottom"/>
          </w:tcPr>
          <w:p w:rsidR="001670E6" w:rsidRPr="00AE45E1" w:rsidRDefault="001670E6" w:rsidP="006B0EAD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160000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4%</w:t>
            </w:r>
          </w:p>
        </w:tc>
        <w:tc>
          <w:tcPr>
            <w:tcW w:w="66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1%</w:t>
            </w:r>
          </w:p>
        </w:tc>
        <w:tc>
          <w:tcPr>
            <w:tcW w:w="714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9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  <w:r w:rsidRPr="00AE45E1">
              <w:rPr>
                <w:rFonts w:hint="cs"/>
                <w:b/>
                <w:bCs/>
                <w:sz w:val="24"/>
                <w:szCs w:val="24"/>
                <w:rtl/>
              </w:rPr>
              <w:t>2%</w:t>
            </w:r>
          </w:p>
        </w:tc>
        <w:tc>
          <w:tcPr>
            <w:tcW w:w="617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10" w:type="dxa"/>
          </w:tcPr>
          <w:p w:rsidR="001670E6" w:rsidRPr="00AE45E1" w:rsidRDefault="001670E6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  <w:tr w:rsidR="00036615" w:rsidTr="00036615">
        <w:tc>
          <w:tcPr>
            <w:tcW w:w="2094" w:type="dxa"/>
            <w:gridSpan w:val="2"/>
          </w:tcPr>
          <w:p w:rsidR="00036615" w:rsidRPr="00AE45E1" w:rsidRDefault="00036615" w:rsidP="006B0EAD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AE45E1">
              <w:rPr>
                <w:rFonts w:ascii="Arial" w:hAnsi="Arial" w:cs="Arial" w:hint="cs"/>
                <w:b/>
                <w:bCs/>
                <w:color w:val="000000"/>
                <w:sz w:val="24"/>
                <w:szCs w:val="24"/>
                <w:rtl/>
              </w:rPr>
              <w:t xml:space="preserve">الإجمالي </w:t>
            </w:r>
          </w:p>
        </w:tc>
        <w:tc>
          <w:tcPr>
            <w:tcW w:w="1184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87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60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14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14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90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9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17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3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10" w:type="dxa"/>
          </w:tcPr>
          <w:p w:rsidR="00036615" w:rsidRPr="00AE45E1" w:rsidRDefault="00036615" w:rsidP="006B0EAD">
            <w:pPr>
              <w:rPr>
                <w:rFonts w:hint="cs"/>
                <w:b/>
                <w:bCs/>
                <w:sz w:val="24"/>
                <w:szCs w:val="24"/>
                <w:rtl/>
              </w:rPr>
            </w:pPr>
          </w:p>
        </w:tc>
      </w:tr>
    </w:tbl>
    <w:p w:rsidR="001670E6" w:rsidRDefault="001670E6">
      <w:pPr>
        <w:rPr>
          <w:rtl/>
        </w:rPr>
      </w:pPr>
    </w:p>
    <w:p w:rsidR="00B01FA0" w:rsidRDefault="001670E6">
      <w:pPr>
        <w:rPr>
          <w:rtl/>
        </w:rPr>
      </w:pPr>
      <w:r>
        <w:rPr>
          <w:rFonts w:hint="cs"/>
          <w:rtl/>
        </w:rPr>
        <w:t>النتيجة ستكون  هكذا بعد توزيع النسب الحافز لكل قسم  بحسب نسب الفئات</w:t>
      </w:r>
    </w:p>
    <w:tbl>
      <w:tblPr>
        <w:tblStyle w:val="a3"/>
        <w:bidiVisual/>
        <w:tblW w:w="0" w:type="auto"/>
        <w:tblInd w:w="-794" w:type="dxa"/>
        <w:tblLook w:val="04A0" w:firstRow="1" w:lastRow="0" w:firstColumn="1" w:lastColumn="0" w:noHBand="0" w:noVBand="1"/>
      </w:tblPr>
      <w:tblGrid>
        <w:gridCol w:w="944"/>
        <w:gridCol w:w="1150"/>
        <w:gridCol w:w="1184"/>
        <w:gridCol w:w="1387"/>
        <w:gridCol w:w="834"/>
        <w:gridCol w:w="711"/>
        <w:gridCol w:w="711"/>
        <w:gridCol w:w="729"/>
        <w:gridCol w:w="711"/>
        <w:gridCol w:w="690"/>
        <w:gridCol w:w="834"/>
        <w:gridCol w:w="711"/>
        <w:gridCol w:w="617"/>
        <w:gridCol w:w="733"/>
        <w:gridCol w:w="733"/>
        <w:gridCol w:w="733"/>
        <w:gridCol w:w="810"/>
      </w:tblGrid>
      <w:tr w:rsidR="00036615" w:rsidTr="00036615">
        <w:tc>
          <w:tcPr>
            <w:tcW w:w="944" w:type="dxa"/>
            <w:vMerge w:val="restart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المنطقة </w:t>
            </w:r>
          </w:p>
        </w:tc>
        <w:tc>
          <w:tcPr>
            <w:tcW w:w="1150" w:type="dxa"/>
            <w:vMerge w:val="restart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القسم </w:t>
            </w:r>
          </w:p>
        </w:tc>
        <w:tc>
          <w:tcPr>
            <w:tcW w:w="1184" w:type="dxa"/>
            <w:vMerge w:val="restart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الايراد الشهري</w:t>
            </w:r>
          </w:p>
        </w:tc>
        <w:tc>
          <w:tcPr>
            <w:tcW w:w="1387" w:type="dxa"/>
            <w:vMerge w:val="restart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الحافز 10% من الايراد</w:t>
            </w:r>
          </w:p>
        </w:tc>
        <w:tc>
          <w:tcPr>
            <w:tcW w:w="8747" w:type="dxa"/>
            <w:gridSpan w:val="12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توزيع الحافز بالنسب المحدد لكل فئة وبحسب القسم التابع للفئة</w:t>
            </w:r>
          </w:p>
        </w:tc>
        <w:tc>
          <w:tcPr>
            <w:tcW w:w="810" w:type="dxa"/>
            <w:vMerge w:val="restart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الاجمالي</w:t>
            </w:r>
          </w:p>
        </w:tc>
      </w:tr>
      <w:tr w:rsidR="00036615" w:rsidTr="00036615">
        <w:tc>
          <w:tcPr>
            <w:tcW w:w="944" w:type="dxa"/>
            <w:vMerge/>
          </w:tcPr>
          <w:p w:rsidR="00036615" w:rsidRDefault="00036615" w:rsidP="002E629E">
            <w:pPr>
              <w:rPr>
                <w:rFonts w:hint="cs"/>
                <w:rtl/>
              </w:rPr>
            </w:pPr>
          </w:p>
        </w:tc>
        <w:tc>
          <w:tcPr>
            <w:tcW w:w="1150" w:type="dxa"/>
            <w:vMerge/>
          </w:tcPr>
          <w:p w:rsidR="00036615" w:rsidRDefault="00036615" w:rsidP="002E629E">
            <w:pPr>
              <w:rPr>
                <w:rFonts w:hint="cs"/>
                <w:rtl/>
              </w:rPr>
            </w:pPr>
          </w:p>
        </w:tc>
        <w:tc>
          <w:tcPr>
            <w:tcW w:w="1184" w:type="dxa"/>
            <w:vMerge/>
          </w:tcPr>
          <w:p w:rsidR="00036615" w:rsidRDefault="00036615" w:rsidP="002E629E">
            <w:pPr>
              <w:rPr>
                <w:rFonts w:hint="cs"/>
                <w:rtl/>
              </w:rPr>
            </w:pPr>
          </w:p>
        </w:tc>
        <w:tc>
          <w:tcPr>
            <w:tcW w:w="1387" w:type="dxa"/>
            <w:vMerge/>
          </w:tcPr>
          <w:p w:rsidR="00036615" w:rsidRDefault="00036615" w:rsidP="002E629E">
            <w:pPr>
              <w:rPr>
                <w:rFonts w:hint="cs"/>
                <w:rtl/>
              </w:rPr>
            </w:pPr>
          </w:p>
        </w:tc>
        <w:tc>
          <w:tcPr>
            <w:tcW w:w="834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الفئة1</w:t>
            </w:r>
          </w:p>
        </w:tc>
        <w:tc>
          <w:tcPr>
            <w:tcW w:w="711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الفئة2</w:t>
            </w:r>
          </w:p>
        </w:tc>
        <w:tc>
          <w:tcPr>
            <w:tcW w:w="711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الفئة3</w:t>
            </w:r>
          </w:p>
        </w:tc>
        <w:tc>
          <w:tcPr>
            <w:tcW w:w="729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الفئة4</w:t>
            </w:r>
          </w:p>
        </w:tc>
        <w:tc>
          <w:tcPr>
            <w:tcW w:w="711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الفئة5</w:t>
            </w:r>
          </w:p>
        </w:tc>
        <w:tc>
          <w:tcPr>
            <w:tcW w:w="690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الفئة6</w:t>
            </w:r>
          </w:p>
        </w:tc>
        <w:tc>
          <w:tcPr>
            <w:tcW w:w="834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الفئة7</w:t>
            </w:r>
          </w:p>
        </w:tc>
        <w:tc>
          <w:tcPr>
            <w:tcW w:w="711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الفئة8</w:t>
            </w:r>
          </w:p>
        </w:tc>
        <w:tc>
          <w:tcPr>
            <w:tcW w:w="617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الفئة9</w:t>
            </w:r>
          </w:p>
        </w:tc>
        <w:tc>
          <w:tcPr>
            <w:tcW w:w="733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الفئة10</w:t>
            </w:r>
          </w:p>
        </w:tc>
        <w:tc>
          <w:tcPr>
            <w:tcW w:w="733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الفئة11</w:t>
            </w:r>
          </w:p>
        </w:tc>
        <w:tc>
          <w:tcPr>
            <w:tcW w:w="733" w:type="dxa"/>
          </w:tcPr>
          <w:p w:rsidR="00036615" w:rsidRDefault="00036615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الفئة12</w:t>
            </w:r>
          </w:p>
        </w:tc>
        <w:tc>
          <w:tcPr>
            <w:tcW w:w="810" w:type="dxa"/>
            <w:vMerge/>
          </w:tcPr>
          <w:p w:rsidR="00036615" w:rsidRDefault="00036615" w:rsidP="002E629E">
            <w:pPr>
              <w:rPr>
                <w:rFonts w:hint="cs"/>
                <w:rtl/>
              </w:rPr>
            </w:pPr>
          </w:p>
        </w:tc>
      </w:tr>
      <w:tr w:rsidR="00036615" w:rsidTr="00036615">
        <w:tc>
          <w:tcPr>
            <w:tcW w:w="944" w:type="dxa"/>
            <w:vMerge/>
          </w:tcPr>
          <w:p w:rsidR="00036615" w:rsidRDefault="00036615" w:rsidP="00036615">
            <w:pPr>
              <w:rPr>
                <w:rFonts w:hint="cs"/>
                <w:rtl/>
              </w:rPr>
            </w:pPr>
          </w:p>
        </w:tc>
        <w:tc>
          <w:tcPr>
            <w:tcW w:w="1150" w:type="dxa"/>
            <w:vMerge/>
            <w:vAlign w:val="bottom"/>
          </w:tcPr>
          <w:p w:rsidR="00036615" w:rsidRDefault="00036615" w:rsidP="00036615">
            <w:pPr>
              <w:rPr>
                <w:rFonts w:ascii="Arial" w:hAnsi="Arial" w:cs="Arial"/>
                <w:color w:val="000000"/>
                <w:rtl/>
              </w:rPr>
            </w:pPr>
          </w:p>
        </w:tc>
        <w:tc>
          <w:tcPr>
            <w:tcW w:w="1184" w:type="dxa"/>
            <w:vMerge/>
            <w:vAlign w:val="bottom"/>
          </w:tcPr>
          <w:p w:rsidR="00036615" w:rsidRDefault="00036615" w:rsidP="00036615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387" w:type="dxa"/>
            <w:vMerge/>
            <w:vAlign w:val="bottom"/>
          </w:tcPr>
          <w:p w:rsidR="00036615" w:rsidRPr="00CE5FD9" w:rsidRDefault="00036615" w:rsidP="00036615">
            <w:pPr>
              <w:bidi w:val="0"/>
              <w:jc w:val="right"/>
              <w:rPr>
                <w:rFonts w:ascii="Arial" w:hAnsi="Arial" w:cs="Arial"/>
                <w:b/>
                <w:bCs/>
                <w:color w:val="FF0000"/>
              </w:rPr>
            </w:pPr>
          </w:p>
        </w:tc>
        <w:tc>
          <w:tcPr>
            <w:tcW w:w="834" w:type="dxa"/>
          </w:tcPr>
          <w:p w:rsidR="00036615" w:rsidRDefault="00036615" w:rsidP="00036615">
            <w:pPr>
              <w:rPr>
                <w:rFonts w:hint="cs"/>
                <w:b/>
                <w:bCs/>
                <w:color w:val="FF0000"/>
                <w:rtl/>
              </w:rPr>
            </w:pPr>
            <w:r>
              <w:rPr>
                <w:rFonts w:hint="cs"/>
                <w:b/>
                <w:bCs/>
                <w:color w:val="FF0000"/>
                <w:rtl/>
              </w:rPr>
              <w:t>2.5%</w:t>
            </w:r>
          </w:p>
        </w:tc>
        <w:tc>
          <w:tcPr>
            <w:tcW w:w="711" w:type="dxa"/>
          </w:tcPr>
          <w:p w:rsidR="00036615" w:rsidRPr="00CE5FD9" w:rsidRDefault="00036615" w:rsidP="00036615">
            <w:pPr>
              <w:rPr>
                <w:rFonts w:hint="cs"/>
                <w:b/>
                <w:bCs/>
                <w:color w:val="FF0000"/>
                <w:rtl/>
              </w:rPr>
            </w:pPr>
            <w:r w:rsidRPr="00CE5FD9">
              <w:rPr>
                <w:rFonts w:hint="cs"/>
                <w:b/>
                <w:bCs/>
                <w:color w:val="FF0000"/>
                <w:rtl/>
              </w:rPr>
              <w:t>1%</w:t>
            </w:r>
          </w:p>
        </w:tc>
        <w:tc>
          <w:tcPr>
            <w:tcW w:w="711" w:type="dxa"/>
          </w:tcPr>
          <w:p w:rsidR="00036615" w:rsidRPr="00CE5FD9" w:rsidRDefault="00036615" w:rsidP="00036615">
            <w:pPr>
              <w:rPr>
                <w:rFonts w:hint="cs"/>
                <w:b/>
                <w:bCs/>
                <w:color w:val="FF0000"/>
                <w:rtl/>
              </w:rPr>
            </w:pPr>
            <w:r w:rsidRPr="00CE5FD9">
              <w:rPr>
                <w:rFonts w:hint="cs"/>
                <w:b/>
                <w:bCs/>
                <w:color w:val="FF0000"/>
                <w:rtl/>
              </w:rPr>
              <w:t>1%</w:t>
            </w:r>
          </w:p>
        </w:tc>
        <w:tc>
          <w:tcPr>
            <w:tcW w:w="729" w:type="dxa"/>
          </w:tcPr>
          <w:p w:rsidR="00036615" w:rsidRPr="00CE5FD9" w:rsidRDefault="00036615" w:rsidP="00036615">
            <w:pPr>
              <w:rPr>
                <w:rFonts w:hint="cs"/>
                <w:b/>
                <w:bCs/>
                <w:color w:val="FF0000"/>
                <w:rtl/>
              </w:rPr>
            </w:pPr>
            <w:r w:rsidRPr="00CE5FD9">
              <w:rPr>
                <w:rFonts w:hint="cs"/>
                <w:b/>
                <w:bCs/>
                <w:color w:val="FF0000"/>
                <w:rtl/>
              </w:rPr>
              <w:t>1%</w:t>
            </w:r>
          </w:p>
        </w:tc>
        <w:tc>
          <w:tcPr>
            <w:tcW w:w="711" w:type="dxa"/>
          </w:tcPr>
          <w:p w:rsidR="00036615" w:rsidRPr="00CE5FD9" w:rsidRDefault="00036615" w:rsidP="00036615">
            <w:pPr>
              <w:rPr>
                <w:rFonts w:hint="cs"/>
                <w:b/>
                <w:bCs/>
                <w:color w:val="FF0000"/>
                <w:rtl/>
              </w:rPr>
            </w:pPr>
            <w:r w:rsidRPr="00CE5FD9">
              <w:rPr>
                <w:rFonts w:hint="cs"/>
                <w:b/>
                <w:bCs/>
                <w:color w:val="FF0000"/>
                <w:rtl/>
              </w:rPr>
              <w:t>1%</w:t>
            </w:r>
          </w:p>
        </w:tc>
        <w:tc>
          <w:tcPr>
            <w:tcW w:w="690" w:type="dxa"/>
          </w:tcPr>
          <w:p w:rsidR="00036615" w:rsidRPr="00CE5FD9" w:rsidRDefault="00036615" w:rsidP="00036615">
            <w:pPr>
              <w:rPr>
                <w:rFonts w:hint="cs"/>
                <w:b/>
                <w:bCs/>
                <w:color w:val="FF0000"/>
                <w:rtl/>
              </w:rPr>
            </w:pPr>
          </w:p>
        </w:tc>
        <w:tc>
          <w:tcPr>
            <w:tcW w:w="834" w:type="dxa"/>
          </w:tcPr>
          <w:p w:rsidR="00036615" w:rsidRPr="00CE5FD9" w:rsidRDefault="00036615" w:rsidP="00036615">
            <w:pPr>
              <w:rPr>
                <w:rFonts w:hint="cs"/>
                <w:b/>
                <w:bCs/>
                <w:color w:val="FF0000"/>
                <w:rtl/>
              </w:rPr>
            </w:pPr>
            <w:r w:rsidRPr="00CE5FD9">
              <w:rPr>
                <w:rFonts w:hint="cs"/>
                <w:b/>
                <w:bCs/>
                <w:color w:val="FF0000"/>
                <w:rtl/>
              </w:rPr>
              <w:t>2.5%</w:t>
            </w:r>
          </w:p>
        </w:tc>
        <w:tc>
          <w:tcPr>
            <w:tcW w:w="711" w:type="dxa"/>
          </w:tcPr>
          <w:p w:rsidR="00036615" w:rsidRPr="00CE5FD9" w:rsidRDefault="00036615" w:rsidP="00036615">
            <w:pPr>
              <w:rPr>
                <w:rFonts w:hint="cs"/>
                <w:b/>
                <w:bCs/>
                <w:color w:val="FF0000"/>
                <w:rtl/>
              </w:rPr>
            </w:pPr>
            <w:r w:rsidRPr="00CE5FD9">
              <w:rPr>
                <w:rFonts w:hint="cs"/>
                <w:b/>
                <w:bCs/>
                <w:color w:val="FF0000"/>
                <w:rtl/>
              </w:rPr>
              <w:t>1</w:t>
            </w:r>
          </w:p>
        </w:tc>
        <w:tc>
          <w:tcPr>
            <w:tcW w:w="617" w:type="dxa"/>
          </w:tcPr>
          <w:p w:rsidR="00036615" w:rsidRDefault="00036615" w:rsidP="00036615">
            <w:pPr>
              <w:rPr>
                <w:rFonts w:hint="cs"/>
                <w:rtl/>
              </w:rPr>
            </w:pPr>
          </w:p>
        </w:tc>
        <w:tc>
          <w:tcPr>
            <w:tcW w:w="733" w:type="dxa"/>
          </w:tcPr>
          <w:p w:rsidR="00036615" w:rsidRDefault="00036615" w:rsidP="00036615">
            <w:pPr>
              <w:rPr>
                <w:rFonts w:hint="cs"/>
                <w:rtl/>
              </w:rPr>
            </w:pPr>
          </w:p>
        </w:tc>
        <w:tc>
          <w:tcPr>
            <w:tcW w:w="733" w:type="dxa"/>
          </w:tcPr>
          <w:p w:rsidR="00036615" w:rsidRDefault="00036615" w:rsidP="00036615">
            <w:pPr>
              <w:rPr>
                <w:rFonts w:hint="cs"/>
                <w:rtl/>
              </w:rPr>
            </w:pPr>
          </w:p>
        </w:tc>
        <w:tc>
          <w:tcPr>
            <w:tcW w:w="733" w:type="dxa"/>
          </w:tcPr>
          <w:p w:rsidR="00036615" w:rsidRDefault="00036615" w:rsidP="00036615">
            <w:pPr>
              <w:rPr>
                <w:rFonts w:hint="cs"/>
                <w:rtl/>
              </w:rPr>
            </w:pPr>
          </w:p>
        </w:tc>
        <w:tc>
          <w:tcPr>
            <w:tcW w:w="810" w:type="dxa"/>
          </w:tcPr>
          <w:p w:rsidR="00036615" w:rsidRDefault="00036615" w:rsidP="00036615">
            <w:pPr>
              <w:rPr>
                <w:rFonts w:hint="cs"/>
                <w:rtl/>
              </w:rPr>
            </w:pPr>
          </w:p>
        </w:tc>
      </w:tr>
      <w:tr w:rsidR="001670E6" w:rsidTr="00036615">
        <w:tc>
          <w:tcPr>
            <w:tcW w:w="944" w:type="dxa"/>
            <w:vMerge/>
          </w:tcPr>
          <w:p w:rsidR="001670E6" w:rsidRDefault="001670E6" w:rsidP="002E629E">
            <w:pPr>
              <w:rPr>
                <w:rFonts w:hint="cs"/>
                <w:rtl/>
              </w:rPr>
            </w:pPr>
          </w:p>
        </w:tc>
        <w:tc>
          <w:tcPr>
            <w:tcW w:w="1150" w:type="dxa"/>
            <w:vAlign w:val="bottom"/>
          </w:tcPr>
          <w:p w:rsidR="001670E6" w:rsidRDefault="001670E6" w:rsidP="002E629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الملابس</w:t>
            </w:r>
          </w:p>
        </w:tc>
        <w:tc>
          <w:tcPr>
            <w:tcW w:w="1184" w:type="dxa"/>
            <w:vAlign w:val="bottom"/>
          </w:tcPr>
          <w:p w:rsidR="001670E6" w:rsidRDefault="001670E6" w:rsidP="002E629E">
            <w:pPr>
              <w:bidi w:val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500000</w:t>
            </w:r>
          </w:p>
        </w:tc>
        <w:tc>
          <w:tcPr>
            <w:tcW w:w="1387" w:type="dxa"/>
            <w:vAlign w:val="bottom"/>
          </w:tcPr>
          <w:p w:rsidR="001670E6" w:rsidRPr="00CE5FD9" w:rsidRDefault="001670E6" w:rsidP="002E629E">
            <w:pPr>
              <w:bidi w:val="0"/>
              <w:jc w:val="right"/>
              <w:rPr>
                <w:rFonts w:ascii="Arial" w:hAnsi="Arial" w:cs="Arial"/>
                <w:b/>
                <w:bCs/>
                <w:color w:val="FF0000"/>
              </w:rPr>
            </w:pPr>
            <w:r w:rsidRPr="00CE5FD9">
              <w:rPr>
                <w:rFonts w:ascii="Arial" w:hAnsi="Arial" w:cs="Arial"/>
                <w:b/>
                <w:bCs/>
                <w:color w:val="FF0000"/>
              </w:rPr>
              <w:t>50000</w:t>
            </w:r>
          </w:p>
        </w:tc>
        <w:tc>
          <w:tcPr>
            <w:tcW w:w="834" w:type="dxa"/>
          </w:tcPr>
          <w:p w:rsidR="001670E6" w:rsidRPr="00CE5FD9" w:rsidRDefault="001670E6" w:rsidP="002E629E">
            <w:pPr>
              <w:rPr>
                <w:rFonts w:hint="cs"/>
                <w:b/>
                <w:bCs/>
                <w:color w:val="FF0000"/>
                <w:rtl/>
              </w:rPr>
            </w:pPr>
            <w:r>
              <w:rPr>
                <w:rFonts w:hint="cs"/>
                <w:b/>
                <w:bCs/>
                <w:color w:val="FF0000"/>
                <w:rtl/>
              </w:rPr>
              <w:t>12500</w:t>
            </w:r>
          </w:p>
        </w:tc>
        <w:tc>
          <w:tcPr>
            <w:tcW w:w="711" w:type="dxa"/>
          </w:tcPr>
          <w:p w:rsidR="001670E6" w:rsidRPr="00CE5FD9" w:rsidRDefault="001670E6" w:rsidP="002E629E">
            <w:pPr>
              <w:rPr>
                <w:rFonts w:hint="cs"/>
                <w:b/>
                <w:bCs/>
                <w:color w:val="FF0000"/>
                <w:rtl/>
              </w:rPr>
            </w:pPr>
            <w:r>
              <w:rPr>
                <w:rFonts w:hint="cs"/>
                <w:b/>
                <w:bCs/>
                <w:color w:val="FF0000"/>
                <w:rtl/>
              </w:rPr>
              <w:t>5000</w:t>
            </w:r>
          </w:p>
        </w:tc>
        <w:tc>
          <w:tcPr>
            <w:tcW w:w="711" w:type="dxa"/>
          </w:tcPr>
          <w:p w:rsidR="001670E6" w:rsidRPr="00CE5FD9" w:rsidRDefault="001670E6" w:rsidP="002E629E">
            <w:pPr>
              <w:rPr>
                <w:rFonts w:hint="cs"/>
                <w:b/>
                <w:bCs/>
                <w:color w:val="FF0000"/>
                <w:rtl/>
              </w:rPr>
            </w:pPr>
            <w:r>
              <w:rPr>
                <w:rFonts w:hint="cs"/>
                <w:b/>
                <w:bCs/>
                <w:color w:val="FF0000"/>
                <w:rtl/>
              </w:rPr>
              <w:t>5000</w:t>
            </w:r>
          </w:p>
        </w:tc>
        <w:tc>
          <w:tcPr>
            <w:tcW w:w="729" w:type="dxa"/>
          </w:tcPr>
          <w:p w:rsidR="001670E6" w:rsidRPr="00CE5FD9" w:rsidRDefault="001670E6" w:rsidP="002E629E">
            <w:pPr>
              <w:rPr>
                <w:rFonts w:hint="cs"/>
                <w:b/>
                <w:bCs/>
                <w:color w:val="FF0000"/>
                <w:rtl/>
              </w:rPr>
            </w:pPr>
            <w:r>
              <w:rPr>
                <w:rFonts w:hint="cs"/>
                <w:b/>
                <w:bCs/>
                <w:color w:val="FF0000"/>
                <w:rtl/>
              </w:rPr>
              <w:t>5000</w:t>
            </w:r>
          </w:p>
        </w:tc>
        <w:tc>
          <w:tcPr>
            <w:tcW w:w="711" w:type="dxa"/>
          </w:tcPr>
          <w:p w:rsidR="001670E6" w:rsidRPr="00CE5FD9" w:rsidRDefault="001670E6" w:rsidP="002E629E">
            <w:pPr>
              <w:rPr>
                <w:rFonts w:hint="cs"/>
                <w:b/>
                <w:bCs/>
                <w:color w:val="FF0000"/>
                <w:rtl/>
              </w:rPr>
            </w:pPr>
            <w:r>
              <w:rPr>
                <w:rFonts w:hint="cs"/>
                <w:b/>
                <w:bCs/>
                <w:color w:val="FF0000"/>
                <w:rtl/>
              </w:rPr>
              <w:t>5000</w:t>
            </w:r>
          </w:p>
        </w:tc>
        <w:tc>
          <w:tcPr>
            <w:tcW w:w="690" w:type="dxa"/>
          </w:tcPr>
          <w:p w:rsidR="001670E6" w:rsidRPr="00CE5FD9" w:rsidRDefault="001670E6" w:rsidP="002E629E">
            <w:pPr>
              <w:rPr>
                <w:rFonts w:hint="cs"/>
                <w:b/>
                <w:bCs/>
                <w:color w:val="FF0000"/>
                <w:rtl/>
              </w:rPr>
            </w:pPr>
          </w:p>
        </w:tc>
        <w:tc>
          <w:tcPr>
            <w:tcW w:w="834" w:type="dxa"/>
          </w:tcPr>
          <w:p w:rsidR="001670E6" w:rsidRPr="00CE5FD9" w:rsidRDefault="001670E6" w:rsidP="002E629E">
            <w:pPr>
              <w:rPr>
                <w:rFonts w:hint="cs"/>
                <w:b/>
                <w:bCs/>
                <w:color w:val="FF0000"/>
                <w:rtl/>
              </w:rPr>
            </w:pPr>
            <w:r>
              <w:rPr>
                <w:rFonts w:hint="cs"/>
                <w:b/>
                <w:bCs/>
                <w:color w:val="FF0000"/>
                <w:rtl/>
              </w:rPr>
              <w:t>12500</w:t>
            </w:r>
          </w:p>
        </w:tc>
        <w:tc>
          <w:tcPr>
            <w:tcW w:w="711" w:type="dxa"/>
          </w:tcPr>
          <w:p w:rsidR="001670E6" w:rsidRPr="00CE5FD9" w:rsidRDefault="001670E6" w:rsidP="002E629E">
            <w:pPr>
              <w:rPr>
                <w:rFonts w:hint="cs"/>
                <w:b/>
                <w:bCs/>
                <w:color w:val="FF0000"/>
                <w:rtl/>
              </w:rPr>
            </w:pPr>
            <w:r>
              <w:rPr>
                <w:rFonts w:hint="cs"/>
                <w:b/>
                <w:bCs/>
                <w:color w:val="FF0000"/>
                <w:rtl/>
              </w:rPr>
              <w:t>5000</w:t>
            </w:r>
          </w:p>
        </w:tc>
        <w:tc>
          <w:tcPr>
            <w:tcW w:w="617" w:type="dxa"/>
          </w:tcPr>
          <w:p w:rsidR="001670E6" w:rsidRDefault="001670E6" w:rsidP="002E629E">
            <w:pPr>
              <w:rPr>
                <w:rFonts w:hint="cs"/>
                <w:rtl/>
              </w:rPr>
            </w:pPr>
          </w:p>
        </w:tc>
        <w:tc>
          <w:tcPr>
            <w:tcW w:w="733" w:type="dxa"/>
          </w:tcPr>
          <w:p w:rsidR="001670E6" w:rsidRDefault="001670E6" w:rsidP="002E629E">
            <w:pPr>
              <w:rPr>
                <w:rFonts w:hint="cs"/>
                <w:rtl/>
              </w:rPr>
            </w:pPr>
          </w:p>
        </w:tc>
        <w:tc>
          <w:tcPr>
            <w:tcW w:w="733" w:type="dxa"/>
          </w:tcPr>
          <w:p w:rsidR="001670E6" w:rsidRDefault="001670E6" w:rsidP="002E629E">
            <w:pPr>
              <w:rPr>
                <w:rFonts w:hint="cs"/>
                <w:rtl/>
              </w:rPr>
            </w:pPr>
          </w:p>
        </w:tc>
        <w:tc>
          <w:tcPr>
            <w:tcW w:w="733" w:type="dxa"/>
          </w:tcPr>
          <w:p w:rsidR="001670E6" w:rsidRDefault="001670E6" w:rsidP="002E629E">
            <w:pPr>
              <w:rPr>
                <w:rFonts w:hint="cs"/>
                <w:rtl/>
              </w:rPr>
            </w:pPr>
          </w:p>
        </w:tc>
        <w:tc>
          <w:tcPr>
            <w:tcW w:w="810" w:type="dxa"/>
          </w:tcPr>
          <w:p w:rsidR="001670E6" w:rsidRDefault="001670E6" w:rsidP="002E629E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5000</w:t>
            </w:r>
          </w:p>
        </w:tc>
      </w:tr>
    </w:tbl>
    <w:p w:rsidR="002E629E" w:rsidRDefault="002E629E">
      <w:pPr>
        <w:rPr>
          <w:rFonts w:hint="cs"/>
          <w:rtl/>
        </w:rPr>
      </w:pPr>
      <w:r>
        <w:rPr>
          <w:rFonts w:hint="cs"/>
          <w:rtl/>
        </w:rPr>
        <w:t xml:space="preserve"> </w:t>
      </w:r>
    </w:p>
    <w:p w:rsidR="002E629E" w:rsidRDefault="002E629E">
      <w:pPr>
        <w:rPr>
          <w:rFonts w:hint="cs"/>
        </w:rPr>
      </w:pPr>
      <w:r>
        <w:rPr>
          <w:rFonts w:hint="cs"/>
          <w:rtl/>
        </w:rPr>
        <w:t>وهكذا بالنسبة لبقية الأقسام  كل  قسم يعطي لكل فئة النسبة المحددة  لها من الحافز</w:t>
      </w:r>
    </w:p>
    <w:sectPr w:rsidR="002E629E" w:rsidSect="006B0EAD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9A0"/>
    <w:rsid w:val="00036615"/>
    <w:rsid w:val="001670E6"/>
    <w:rsid w:val="002E629E"/>
    <w:rsid w:val="00345F59"/>
    <w:rsid w:val="006B0EAD"/>
    <w:rsid w:val="008A53E7"/>
    <w:rsid w:val="00A069A0"/>
    <w:rsid w:val="00AE45E1"/>
    <w:rsid w:val="00B01FA0"/>
    <w:rsid w:val="00CE5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CDAC930-6B18-4724-8274-675B7D8A1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B0E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mobil</dc:creator>
  <cp:keywords/>
  <dc:description/>
  <cp:lastModifiedBy>mobil</cp:lastModifiedBy>
  <cp:revision>3</cp:revision>
  <dcterms:created xsi:type="dcterms:W3CDTF">2023-05-14T13:45:00Z</dcterms:created>
  <dcterms:modified xsi:type="dcterms:W3CDTF">2023-05-14T14:13:00Z</dcterms:modified>
</cp:coreProperties>
</file>